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116" w:rsidRDefault="00D74C0C" w:rsidP="00F16116">
      <w:pPr>
        <w:widowControl/>
        <w:spacing w:line="480" w:lineRule="auto"/>
        <w:ind w:firstLineChars="0" w:firstLine="110"/>
        <w:jc w:val="center"/>
        <w:rPr>
          <w:rFonts w:asciiTheme="minorEastAsia" w:hAnsiTheme="minorEastAsia" w:cstheme="minorEastAsia" w:hint="eastAsia"/>
          <w:b/>
          <w:bCs/>
          <w:kern w:val="0"/>
          <w:sz w:val="44"/>
          <w:szCs w:val="44"/>
        </w:rPr>
      </w:pPr>
      <w:r>
        <w:rPr>
          <w:rFonts w:asciiTheme="minorEastAsia" w:hAnsiTheme="minorEastAsia" w:cstheme="minorEastAsia" w:hint="eastAsia"/>
          <w:b/>
          <w:bCs/>
          <w:kern w:val="0"/>
          <w:sz w:val="44"/>
          <w:szCs w:val="44"/>
        </w:rPr>
        <w:t>中国银监会办公厅关于加强</w:t>
      </w:r>
    </w:p>
    <w:p w:rsidR="00F16116" w:rsidRDefault="00D74C0C" w:rsidP="00F16116">
      <w:pPr>
        <w:widowControl/>
        <w:spacing w:line="480" w:lineRule="auto"/>
        <w:ind w:firstLineChars="0" w:firstLine="110"/>
        <w:jc w:val="center"/>
        <w:rPr>
          <w:rFonts w:asciiTheme="minorEastAsia" w:hAnsiTheme="minorEastAsia" w:cstheme="minorEastAsia" w:hint="eastAsia"/>
          <w:b/>
          <w:bCs/>
          <w:kern w:val="0"/>
          <w:sz w:val="44"/>
          <w:szCs w:val="44"/>
        </w:rPr>
      </w:pPr>
      <w:r>
        <w:rPr>
          <w:rFonts w:asciiTheme="minorEastAsia" w:hAnsiTheme="minorEastAsia" w:cstheme="minorEastAsia" w:hint="eastAsia"/>
          <w:b/>
          <w:bCs/>
          <w:kern w:val="0"/>
          <w:sz w:val="44"/>
          <w:szCs w:val="44"/>
        </w:rPr>
        <w:t>银行业金融机构内控管理</w:t>
      </w:r>
    </w:p>
    <w:p w:rsidR="00CC3A40" w:rsidRDefault="00D74C0C" w:rsidP="00F16116">
      <w:pPr>
        <w:widowControl/>
        <w:spacing w:line="480" w:lineRule="auto"/>
        <w:ind w:firstLineChars="0" w:firstLine="110"/>
        <w:jc w:val="center"/>
        <w:rPr>
          <w:rFonts w:asciiTheme="minorEastAsia" w:hAnsiTheme="minorEastAsia" w:cstheme="minorEastAsia"/>
          <w:kern w:val="0"/>
          <w:sz w:val="44"/>
          <w:szCs w:val="44"/>
        </w:rPr>
      </w:pPr>
      <w:r>
        <w:rPr>
          <w:rFonts w:asciiTheme="minorEastAsia" w:hAnsiTheme="minorEastAsia" w:cstheme="minorEastAsia" w:hint="eastAsia"/>
          <w:b/>
          <w:bCs/>
          <w:kern w:val="0"/>
          <w:sz w:val="44"/>
          <w:szCs w:val="44"/>
        </w:rPr>
        <w:t>有效防范柜面业务操作风险的通知</w:t>
      </w:r>
    </w:p>
    <w:p w:rsidR="00CC3A40" w:rsidRDefault="00D74C0C" w:rsidP="00F16116">
      <w:pPr>
        <w:widowControl/>
        <w:spacing w:line="480" w:lineRule="auto"/>
        <w:ind w:firstLineChars="0" w:firstLine="110"/>
        <w:jc w:val="center"/>
        <w:rPr>
          <w:rFonts w:asciiTheme="minorEastAsia" w:hAnsiTheme="minorEastAsia" w:cstheme="minorEastAsia"/>
          <w:b/>
          <w:bCs/>
          <w:kern w:val="0"/>
          <w:sz w:val="44"/>
          <w:szCs w:val="44"/>
        </w:rPr>
      </w:pPr>
      <w:r>
        <w:rPr>
          <w:rFonts w:asciiTheme="minorEastAsia" w:hAnsiTheme="minorEastAsia" w:cstheme="minorEastAsia" w:hint="eastAsia"/>
          <w:b/>
          <w:bCs/>
          <w:kern w:val="0"/>
          <w:sz w:val="44"/>
          <w:szCs w:val="44"/>
        </w:rPr>
        <w:t>银监办发〔</w:t>
      </w:r>
      <w:r>
        <w:rPr>
          <w:rFonts w:asciiTheme="minorEastAsia" w:hAnsiTheme="minorEastAsia" w:cstheme="minorEastAsia" w:hint="eastAsia"/>
          <w:b/>
          <w:bCs/>
          <w:kern w:val="0"/>
          <w:sz w:val="44"/>
          <w:szCs w:val="44"/>
        </w:rPr>
        <w:t>2015</w:t>
      </w:r>
      <w:r>
        <w:rPr>
          <w:rFonts w:asciiTheme="minorEastAsia" w:hAnsiTheme="minorEastAsia" w:cstheme="minorEastAsia" w:hint="eastAsia"/>
          <w:b/>
          <w:bCs/>
          <w:kern w:val="0"/>
          <w:sz w:val="44"/>
          <w:szCs w:val="44"/>
        </w:rPr>
        <w:t>〕</w:t>
      </w:r>
      <w:r>
        <w:rPr>
          <w:rFonts w:asciiTheme="minorEastAsia" w:hAnsiTheme="minorEastAsia" w:cstheme="minorEastAsia" w:hint="eastAsia"/>
          <w:b/>
          <w:bCs/>
          <w:kern w:val="0"/>
          <w:sz w:val="44"/>
          <w:szCs w:val="44"/>
        </w:rPr>
        <w:t>97</w:t>
      </w:r>
      <w:r>
        <w:rPr>
          <w:rFonts w:asciiTheme="minorEastAsia" w:hAnsiTheme="minorEastAsia" w:cstheme="minorEastAsia" w:hint="eastAsia"/>
          <w:b/>
          <w:bCs/>
          <w:kern w:val="0"/>
          <w:sz w:val="44"/>
          <w:szCs w:val="44"/>
        </w:rPr>
        <w:t>号</w:t>
      </w:r>
    </w:p>
    <w:p w:rsidR="00CC3A40" w:rsidRDefault="00CC3A40">
      <w:pPr>
        <w:widowControl/>
        <w:spacing w:line="480" w:lineRule="auto"/>
        <w:ind w:firstLineChars="0" w:firstLine="883"/>
        <w:jc w:val="center"/>
        <w:rPr>
          <w:rFonts w:asciiTheme="minorEastAsia" w:hAnsiTheme="minorEastAsia" w:cstheme="minorEastAsia"/>
          <w:b/>
          <w:bCs/>
          <w:kern w:val="0"/>
          <w:sz w:val="44"/>
          <w:szCs w:val="44"/>
        </w:rPr>
      </w:pP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微软雅黑" w:eastAsia="微软雅黑" w:hAnsi="微软雅黑" w:cs="宋体" w:hint="eastAsia"/>
          <w:color w:val="404040"/>
          <w:kern w:val="0"/>
          <w:sz w:val="22"/>
        </w:rPr>
        <w:t xml:space="preserve">　　</w:t>
      </w:r>
      <w:r>
        <w:rPr>
          <w:rFonts w:asciiTheme="minorEastAsia" w:hAnsiTheme="minorEastAsia" w:cstheme="minorEastAsia" w:hint="eastAsia"/>
          <w:color w:val="404040"/>
          <w:kern w:val="0"/>
          <w:sz w:val="32"/>
          <w:szCs w:val="32"/>
        </w:rPr>
        <w:t>近期，全国发生多起银行业金融机构与客户纠纷事件，为推动银行业金融机构规范运营，有效防范外部欺诈和内部舞弊引发的案件和风险事件</w:t>
      </w:r>
      <w:r>
        <w:rPr>
          <w:rFonts w:asciiTheme="minorEastAsia" w:hAnsiTheme="minorEastAsia" w:cstheme="minorEastAsia" w:hint="eastAsia"/>
          <w:color w:val="404040"/>
          <w:kern w:val="0"/>
          <w:sz w:val="32"/>
          <w:szCs w:val="32"/>
        </w:rPr>
        <w:t>(</w:t>
      </w:r>
      <w:r>
        <w:rPr>
          <w:rFonts w:asciiTheme="minorEastAsia" w:hAnsiTheme="minorEastAsia" w:cstheme="minorEastAsia" w:hint="eastAsia"/>
          <w:color w:val="404040"/>
          <w:kern w:val="0"/>
          <w:sz w:val="32"/>
          <w:szCs w:val="32"/>
        </w:rPr>
        <w:t>以下简称“风险事件”</w:t>
      </w:r>
      <w:r>
        <w:rPr>
          <w:rFonts w:asciiTheme="minorEastAsia" w:hAnsiTheme="minorEastAsia" w:cstheme="minorEastAsia" w:hint="eastAsia"/>
          <w:color w:val="404040"/>
          <w:kern w:val="0"/>
          <w:sz w:val="32"/>
          <w:szCs w:val="32"/>
        </w:rPr>
        <w:t>)</w:t>
      </w:r>
      <w:r>
        <w:rPr>
          <w:rFonts w:asciiTheme="minorEastAsia" w:hAnsiTheme="minorEastAsia" w:cstheme="minorEastAsia" w:hint="eastAsia"/>
          <w:color w:val="404040"/>
          <w:kern w:val="0"/>
          <w:sz w:val="32"/>
          <w:szCs w:val="32"/>
        </w:rPr>
        <w:t>，切实加强柜面业务操作风险防控，更好保护银行业消费者合法权益，现就有关事项通知如下</w:t>
      </w:r>
      <w:r>
        <w:rPr>
          <w:rFonts w:asciiTheme="minorEastAsia" w:hAnsiTheme="minorEastAsia" w:cstheme="minorEastAsia" w:hint="eastAsia"/>
          <w:color w:val="404040"/>
          <w:kern w:val="0"/>
          <w:sz w:val="32"/>
          <w:szCs w:val="32"/>
        </w:rPr>
        <w:t>:</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一、加强内控体系建设。银行业金融机构应切实落实《商业银行内部控制指引》</w:t>
      </w:r>
      <w:r>
        <w:rPr>
          <w:rFonts w:asciiTheme="minorEastAsia" w:hAnsiTheme="minorEastAsia" w:cstheme="minorEastAsia" w:hint="eastAsia"/>
          <w:color w:val="404040"/>
          <w:kern w:val="0"/>
          <w:sz w:val="32"/>
          <w:szCs w:val="32"/>
        </w:rPr>
        <w:t>(</w:t>
      </w:r>
      <w:r>
        <w:rPr>
          <w:rFonts w:asciiTheme="minorEastAsia" w:hAnsiTheme="minorEastAsia" w:cstheme="minorEastAsia" w:hint="eastAsia"/>
          <w:color w:val="404040"/>
          <w:kern w:val="0"/>
          <w:sz w:val="32"/>
          <w:szCs w:val="32"/>
        </w:rPr>
        <w:t>银监发〔</w:t>
      </w:r>
      <w:r>
        <w:rPr>
          <w:rFonts w:asciiTheme="minorEastAsia" w:hAnsiTheme="minorEastAsia" w:cstheme="minorEastAsia" w:hint="eastAsia"/>
          <w:color w:val="404040"/>
          <w:kern w:val="0"/>
          <w:sz w:val="32"/>
          <w:szCs w:val="32"/>
        </w:rPr>
        <w:t>2014</w:t>
      </w:r>
      <w:r>
        <w:rPr>
          <w:rFonts w:asciiTheme="minorEastAsia" w:hAnsiTheme="minorEastAsia" w:cstheme="minorEastAsia" w:hint="eastAsia"/>
          <w:color w:val="404040"/>
          <w:kern w:val="0"/>
          <w:sz w:val="32"/>
          <w:szCs w:val="32"/>
        </w:rPr>
        <w:t>〕</w:t>
      </w:r>
      <w:r>
        <w:rPr>
          <w:rFonts w:asciiTheme="minorEastAsia" w:hAnsiTheme="minorEastAsia" w:cstheme="minorEastAsia" w:hint="eastAsia"/>
          <w:color w:val="404040"/>
          <w:kern w:val="0"/>
          <w:sz w:val="32"/>
          <w:szCs w:val="32"/>
        </w:rPr>
        <w:t>40</w:t>
      </w:r>
      <w:r>
        <w:rPr>
          <w:rFonts w:asciiTheme="minorEastAsia" w:hAnsiTheme="minorEastAsia" w:cstheme="minorEastAsia" w:hint="eastAsia"/>
          <w:color w:val="404040"/>
          <w:kern w:val="0"/>
          <w:sz w:val="32"/>
          <w:szCs w:val="32"/>
        </w:rPr>
        <w:t>号</w:t>
      </w:r>
      <w:r>
        <w:rPr>
          <w:rFonts w:asciiTheme="minorEastAsia" w:hAnsiTheme="minorEastAsia" w:cstheme="minorEastAsia" w:hint="eastAsia"/>
          <w:color w:val="404040"/>
          <w:kern w:val="0"/>
          <w:sz w:val="32"/>
          <w:szCs w:val="32"/>
        </w:rPr>
        <w:t>)</w:t>
      </w:r>
      <w:r>
        <w:rPr>
          <w:rFonts w:asciiTheme="minorEastAsia" w:hAnsiTheme="minorEastAsia" w:cstheme="minorEastAsia" w:hint="eastAsia"/>
          <w:color w:val="404040"/>
          <w:kern w:val="0"/>
          <w:sz w:val="32"/>
          <w:szCs w:val="32"/>
        </w:rPr>
        <w:t>的有关要求，建立健全内部控制体系，明确内部控制职责，完善内部控制措施，强化内部控制保障，并定期组织开展内部控制有效性专项评估，防微杜渐，堵塞制度漏洞。内审、合</w:t>
      </w:r>
      <w:proofErr w:type="gramStart"/>
      <w:r>
        <w:rPr>
          <w:rFonts w:asciiTheme="minorEastAsia" w:hAnsiTheme="minorEastAsia" w:cstheme="minorEastAsia" w:hint="eastAsia"/>
          <w:color w:val="404040"/>
          <w:kern w:val="0"/>
          <w:sz w:val="32"/>
          <w:szCs w:val="32"/>
        </w:rPr>
        <w:t>规</w:t>
      </w:r>
      <w:proofErr w:type="gramEnd"/>
      <w:r>
        <w:rPr>
          <w:rFonts w:asciiTheme="minorEastAsia" w:hAnsiTheme="minorEastAsia" w:cstheme="minorEastAsia" w:hint="eastAsia"/>
          <w:color w:val="404040"/>
          <w:kern w:val="0"/>
          <w:sz w:val="32"/>
          <w:szCs w:val="32"/>
        </w:rPr>
        <w:t>和业务管理条线应定期开展自我排查，加大内部检查力度，着重检查基层营业网点、重点业务岗位内部控制制度的完备性及执行的严肃性，防止内部操作风险和违规经营行为，并将检查结果报告监管部门。</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二、加强“三道防线”建设。业务管理条线作为第一道防线应承担起风险</w:t>
      </w:r>
      <w:r>
        <w:rPr>
          <w:rFonts w:asciiTheme="minorEastAsia" w:hAnsiTheme="minorEastAsia" w:cstheme="minorEastAsia" w:hint="eastAsia"/>
          <w:color w:val="404040"/>
          <w:kern w:val="0"/>
          <w:sz w:val="32"/>
          <w:szCs w:val="32"/>
        </w:rPr>
        <w:t>防控的首要责任，负责相关业务制度的制订、执行、日常检查和持续改进，及时收集基层机构业务诉</w:t>
      </w:r>
      <w:r>
        <w:rPr>
          <w:rFonts w:asciiTheme="minorEastAsia" w:hAnsiTheme="minorEastAsia" w:cstheme="minorEastAsia" w:hint="eastAsia"/>
          <w:color w:val="404040"/>
          <w:kern w:val="0"/>
          <w:sz w:val="32"/>
          <w:szCs w:val="32"/>
        </w:rPr>
        <w:lastRenderedPageBreak/>
        <w:t>求和风险防范建议，动态调整制度、流程、风险控制措施，提出修订重要凭证和合同文本等建议；风险合规条线作为第二道防线应认真落实风险监测、重点业务风险检查、风险事件牵头处置及实施问责等职责；审计监督条线作为第三道防线应加大对重点风险隐患的监督检查，对检查发现的违规违纪问题提出整改意见。三道防线各部门应分工明确、职责清晰、有机配合、无缝对接。</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三、加强柜面业务流程控制。银行业金融机构应加强柜面业务流程控制，严格落实现金收付、</w:t>
      </w:r>
      <w:r>
        <w:rPr>
          <w:rFonts w:asciiTheme="minorEastAsia" w:hAnsiTheme="minorEastAsia" w:cstheme="minorEastAsia" w:hint="eastAsia"/>
          <w:color w:val="404040"/>
          <w:kern w:val="0"/>
          <w:sz w:val="32"/>
          <w:szCs w:val="32"/>
        </w:rPr>
        <w:t>资金汇划、账户资料变更、密码挂失与重置以及网上银行开通等柜面业务的授权、控制和监督制度。客户申请办理柜面业务时，银行业金融机构应采取凭证签字、语音自助提示、屏幕自助显示等方式告知客户其办理的业务性质、金额并得到客户确认，确保根据客户真实意愿办理业务。柜面办理大额资金</w:t>
      </w:r>
      <w:proofErr w:type="gramStart"/>
      <w:r>
        <w:rPr>
          <w:rFonts w:asciiTheme="minorEastAsia" w:hAnsiTheme="minorEastAsia" w:cstheme="minorEastAsia" w:hint="eastAsia"/>
          <w:color w:val="404040"/>
          <w:kern w:val="0"/>
          <w:sz w:val="32"/>
          <w:szCs w:val="32"/>
        </w:rPr>
        <w:t>汇划应坚持</w:t>
      </w:r>
      <w:proofErr w:type="gramEnd"/>
      <w:r>
        <w:rPr>
          <w:rFonts w:asciiTheme="minorEastAsia" w:hAnsiTheme="minorEastAsia" w:cstheme="minorEastAsia" w:hint="eastAsia"/>
          <w:color w:val="404040"/>
          <w:kern w:val="0"/>
          <w:sz w:val="32"/>
          <w:szCs w:val="32"/>
        </w:rPr>
        <w:t>前后台分离、岗位制约原则，实行远程复核</w:t>
      </w:r>
      <w:r>
        <w:rPr>
          <w:rFonts w:asciiTheme="minorEastAsia" w:hAnsiTheme="minorEastAsia" w:cstheme="minorEastAsia" w:hint="eastAsia"/>
          <w:color w:val="404040"/>
          <w:kern w:val="0"/>
          <w:sz w:val="32"/>
          <w:szCs w:val="32"/>
        </w:rPr>
        <w:t>(</w:t>
      </w:r>
      <w:r>
        <w:rPr>
          <w:rFonts w:asciiTheme="minorEastAsia" w:hAnsiTheme="minorEastAsia" w:cstheme="minorEastAsia" w:hint="eastAsia"/>
          <w:color w:val="404040"/>
          <w:kern w:val="0"/>
          <w:sz w:val="32"/>
          <w:szCs w:val="32"/>
        </w:rPr>
        <w:t>授权</w:t>
      </w:r>
      <w:r>
        <w:rPr>
          <w:rFonts w:asciiTheme="minorEastAsia" w:hAnsiTheme="minorEastAsia" w:cstheme="minorEastAsia" w:hint="eastAsia"/>
          <w:color w:val="404040"/>
          <w:kern w:val="0"/>
          <w:sz w:val="32"/>
          <w:szCs w:val="32"/>
        </w:rPr>
        <w:t>)</w:t>
      </w:r>
      <w:r>
        <w:rPr>
          <w:rFonts w:asciiTheme="minorEastAsia" w:hAnsiTheme="minorEastAsia" w:cstheme="minorEastAsia" w:hint="eastAsia"/>
          <w:color w:val="404040"/>
          <w:kern w:val="0"/>
          <w:sz w:val="32"/>
          <w:szCs w:val="32"/>
        </w:rPr>
        <w:t>的银行，办理金额超过一定标准的资金汇划业务应实行现场审核与远程复核</w:t>
      </w:r>
      <w:r>
        <w:rPr>
          <w:rFonts w:asciiTheme="minorEastAsia" w:hAnsiTheme="minorEastAsia" w:cstheme="minorEastAsia" w:hint="eastAsia"/>
          <w:color w:val="404040"/>
          <w:kern w:val="0"/>
          <w:sz w:val="32"/>
          <w:szCs w:val="32"/>
        </w:rPr>
        <w:t>(</w:t>
      </w:r>
      <w:r>
        <w:rPr>
          <w:rFonts w:asciiTheme="minorEastAsia" w:hAnsiTheme="minorEastAsia" w:cstheme="minorEastAsia" w:hint="eastAsia"/>
          <w:color w:val="404040"/>
          <w:kern w:val="0"/>
          <w:sz w:val="32"/>
          <w:szCs w:val="32"/>
        </w:rPr>
        <w:t>授权</w:t>
      </w:r>
      <w:r>
        <w:rPr>
          <w:rFonts w:asciiTheme="minorEastAsia" w:hAnsiTheme="minorEastAsia" w:cstheme="minorEastAsia" w:hint="eastAsia"/>
          <w:color w:val="404040"/>
          <w:kern w:val="0"/>
          <w:sz w:val="32"/>
          <w:szCs w:val="32"/>
        </w:rPr>
        <w:t>)</w:t>
      </w:r>
      <w:r>
        <w:rPr>
          <w:rFonts w:asciiTheme="minorEastAsia" w:hAnsiTheme="minorEastAsia" w:cstheme="minorEastAsia" w:hint="eastAsia"/>
          <w:color w:val="404040"/>
          <w:kern w:val="0"/>
          <w:sz w:val="32"/>
          <w:szCs w:val="32"/>
        </w:rPr>
        <w:t>相结合的方式；对办理重要业务的客户实行交叉回访；对资金汇划异常的账户，要切实加强布控，及时预警监测异常交易。</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四</w:t>
      </w:r>
      <w:r>
        <w:rPr>
          <w:rFonts w:asciiTheme="minorEastAsia" w:hAnsiTheme="minorEastAsia" w:cstheme="minorEastAsia" w:hint="eastAsia"/>
          <w:color w:val="404040"/>
          <w:kern w:val="0"/>
          <w:sz w:val="32"/>
          <w:szCs w:val="32"/>
        </w:rPr>
        <w:t>、加强开户管理。银行业金融机构应坚持“了解你的客户”原则，加强开户真实性审核，包括开户文件和印鉴的真实性、开户申请人意愿的真实性和开户办理人身份的真实</w:t>
      </w:r>
      <w:r>
        <w:rPr>
          <w:rFonts w:asciiTheme="minorEastAsia" w:hAnsiTheme="minorEastAsia" w:cstheme="minorEastAsia" w:hint="eastAsia"/>
          <w:color w:val="404040"/>
          <w:kern w:val="0"/>
          <w:sz w:val="32"/>
          <w:szCs w:val="32"/>
        </w:rPr>
        <w:lastRenderedPageBreak/>
        <w:t>性等；对客户实行分类管理，对于重点关注客户和异地客户开户应坚持上门核实。在本行已开立基本账户的企业申请开立一般账户，应与开立基本账户时留存的开户文件、印鉴进行核对，如核对不一致应与客户进行核实确认。</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五、加强对账管理。银行业金融机构应坚持对账与业务办理在人员、岗位、职责方面严格分离原则；可采取提升客户体验、降低对账成本等措施，提升客户采用电子对账的意愿，提</w:t>
      </w:r>
      <w:r>
        <w:rPr>
          <w:rFonts w:asciiTheme="minorEastAsia" w:hAnsiTheme="minorEastAsia" w:cstheme="minorEastAsia" w:hint="eastAsia"/>
          <w:color w:val="404040"/>
          <w:kern w:val="0"/>
          <w:sz w:val="32"/>
          <w:szCs w:val="32"/>
        </w:rPr>
        <w:t>高电子对账率；加强新开户企业、企业注册地与对账地址不一致、短期内资金异动等账户的对账工作，必要时应上门、面对面进行对账核实；加强对账结果分析，对于当期未实现有效对账的账户，下一期应采取措施保证有效对账；提升服务水平，采取多种方式提供资金变动通知服务，便于客户实时掌握其账户资金变动情况。</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六、加强账户监控。银行业金融机构应制</w:t>
      </w:r>
      <w:proofErr w:type="gramStart"/>
      <w:r>
        <w:rPr>
          <w:rFonts w:asciiTheme="minorEastAsia" w:hAnsiTheme="minorEastAsia" w:cstheme="minorEastAsia" w:hint="eastAsia"/>
          <w:color w:val="404040"/>
          <w:kern w:val="0"/>
          <w:sz w:val="32"/>
          <w:szCs w:val="32"/>
        </w:rPr>
        <w:t>定完善</w:t>
      </w:r>
      <w:proofErr w:type="gramEnd"/>
      <w:r>
        <w:rPr>
          <w:rFonts w:asciiTheme="minorEastAsia" w:hAnsiTheme="minorEastAsia" w:cstheme="minorEastAsia" w:hint="eastAsia"/>
          <w:color w:val="404040"/>
          <w:kern w:val="0"/>
          <w:sz w:val="32"/>
          <w:szCs w:val="32"/>
        </w:rPr>
        <w:t>异常、可疑交易核查制度，对系统发现的异常交易或潜在风险点，应明确核查、反馈和处理工作机制，且应由独立于前台业务部门的人员予以核查。及时总结风险事件特点，合理设定并动态更新风险监测</w:t>
      </w:r>
      <w:r>
        <w:rPr>
          <w:rFonts w:asciiTheme="minorEastAsia" w:hAnsiTheme="minorEastAsia" w:cstheme="minorEastAsia" w:hint="eastAsia"/>
          <w:color w:val="404040"/>
          <w:kern w:val="0"/>
          <w:sz w:val="32"/>
          <w:szCs w:val="32"/>
        </w:rPr>
        <w:t>指标和模型，提升系统的风险识别和预警能力。</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七、加强印章凭证管理。银行业金融机构应加强印章凭证管理，坚持“双人入库保管、事先审批登记、双人监督领用”原则，确保保管、审批、使用的分离和有效监督制约。</w:t>
      </w:r>
      <w:r>
        <w:rPr>
          <w:rFonts w:asciiTheme="minorEastAsia" w:hAnsiTheme="minorEastAsia" w:cstheme="minorEastAsia" w:hint="eastAsia"/>
          <w:color w:val="404040"/>
          <w:kern w:val="0"/>
          <w:sz w:val="32"/>
          <w:szCs w:val="32"/>
        </w:rPr>
        <w:lastRenderedPageBreak/>
        <w:t>可通过建立凭证、印章的信息管理系统，实现对重要凭证和核算印章的系统刚性控制，建立“交易、凭证、用印”对应关系，有效</w:t>
      </w:r>
      <w:proofErr w:type="gramStart"/>
      <w:r>
        <w:rPr>
          <w:rFonts w:asciiTheme="minorEastAsia" w:hAnsiTheme="minorEastAsia" w:cstheme="minorEastAsia" w:hint="eastAsia"/>
          <w:color w:val="404040"/>
          <w:kern w:val="0"/>
          <w:sz w:val="32"/>
          <w:szCs w:val="32"/>
        </w:rPr>
        <w:t>防范套打存折</w:t>
      </w:r>
      <w:proofErr w:type="gramEnd"/>
      <w:r>
        <w:rPr>
          <w:rFonts w:asciiTheme="minorEastAsia" w:hAnsiTheme="minorEastAsia" w:cstheme="minorEastAsia" w:hint="eastAsia"/>
          <w:color w:val="404040"/>
          <w:kern w:val="0"/>
          <w:sz w:val="32"/>
          <w:szCs w:val="32"/>
        </w:rPr>
        <w:t>、盗用重要凭证和印章等风险。</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八、加强代销业务管理。银行业金融机构总行应集中上收代销业务审批权限，对代销机构实行名单制管理，严禁分支机构超授权代销；在官方网站和营业场所公示本行代销的</w:t>
      </w:r>
      <w:r>
        <w:rPr>
          <w:rFonts w:asciiTheme="minorEastAsia" w:hAnsiTheme="minorEastAsia" w:cstheme="minorEastAsia" w:hint="eastAsia"/>
          <w:color w:val="404040"/>
          <w:kern w:val="0"/>
          <w:sz w:val="32"/>
          <w:szCs w:val="32"/>
        </w:rPr>
        <w:t>金融产品清单，以及产品发行方、预期收益、相关风险等重要信息。</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九、加强风险提示。以滚动屏幕显示、在营业场所醒目位置张贴“风险提示书”等方式，告知客户购买金融产品有风险、私售产品的主要表现形式及危害，提高客户自我保护意识；以抄写风险提示等方式向客户充分揭示其投资产品的风险和应承担的责任，确保其风险知情权。</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十、加强客户信息安全管理。银行业金融机构应加强对接触客户信息岗位的权限管理和行为管理，特别关注互联网环境下新兴业务应用、交易系统存在的客户信息泄露隐患，确保对可能产生信息泄露的环节有足够的监测和管控</w:t>
      </w:r>
      <w:r>
        <w:rPr>
          <w:rFonts w:asciiTheme="minorEastAsia" w:hAnsiTheme="minorEastAsia" w:cstheme="minorEastAsia" w:hint="eastAsia"/>
          <w:color w:val="404040"/>
          <w:kern w:val="0"/>
          <w:sz w:val="32"/>
          <w:szCs w:val="32"/>
        </w:rPr>
        <w:t>能力；对信用卡持卡人信息、网上银行业务客户信息等，应提高风险防范级别，加强风险管控措施。</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十一、加强录音录像监控。银行业金融机构应在营业网点现金区实施同步录音录像，录像资料回放应清晰辨别银行员工和客户的面部特征，显示业务</w:t>
      </w:r>
      <w:proofErr w:type="gramStart"/>
      <w:r>
        <w:rPr>
          <w:rFonts w:asciiTheme="minorEastAsia" w:hAnsiTheme="minorEastAsia" w:cstheme="minorEastAsia" w:hint="eastAsia"/>
          <w:color w:val="404040"/>
          <w:kern w:val="0"/>
          <w:sz w:val="32"/>
          <w:szCs w:val="32"/>
        </w:rPr>
        <w:t>办理全</w:t>
      </w:r>
      <w:proofErr w:type="gramEnd"/>
      <w:r>
        <w:rPr>
          <w:rFonts w:asciiTheme="minorEastAsia" w:hAnsiTheme="minorEastAsia" w:cstheme="minorEastAsia" w:hint="eastAsia"/>
          <w:color w:val="404040"/>
          <w:kern w:val="0"/>
          <w:sz w:val="32"/>
          <w:szCs w:val="32"/>
        </w:rPr>
        <w:t>过程；录音资料应</w:t>
      </w:r>
      <w:r>
        <w:rPr>
          <w:rFonts w:asciiTheme="minorEastAsia" w:hAnsiTheme="minorEastAsia" w:cstheme="minorEastAsia" w:hint="eastAsia"/>
          <w:color w:val="404040"/>
          <w:kern w:val="0"/>
          <w:sz w:val="32"/>
          <w:szCs w:val="32"/>
        </w:rPr>
        <w:lastRenderedPageBreak/>
        <w:t>完整、清晰记录业务办理过程中双方的交流过程。加快推进银行理财产品和代销产品销售录音录像工作，录音、录像资料应能完整客观、清晰可辨地记录业务或产品介绍、相关风险和关键信息提示、客户确认和反馈等重点环节。</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十二、加强营业场所管理。银行业金融机构应完善营业场所管理制度</w:t>
      </w:r>
      <w:r>
        <w:rPr>
          <w:rFonts w:asciiTheme="minorEastAsia" w:hAnsiTheme="minorEastAsia" w:cstheme="minorEastAsia" w:hint="eastAsia"/>
          <w:color w:val="404040"/>
          <w:kern w:val="0"/>
          <w:sz w:val="32"/>
          <w:szCs w:val="32"/>
        </w:rPr>
        <w:t>，落实网点负责人对营业场所、营业秩序的管理职责；上级行应加强对网点日常经营行为的监督检查，定期采用神秘人检查、抽查录音记录、调阅监控录像、查询文档资料等多种方式对网点进行风险排查；严防不法分子冒充银行工作人员在银行营业场所从事非法或违规活动，并在醒目位置予以明确公告。</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十三、加强员工行为管理。银行业金融机构应严格执行《中国银监会办公厅关于进一步加强银行业务和员工行为管理的通知》</w:t>
      </w:r>
      <w:r>
        <w:rPr>
          <w:rFonts w:asciiTheme="minorEastAsia" w:hAnsiTheme="minorEastAsia" w:cstheme="minorEastAsia" w:hint="eastAsia"/>
          <w:color w:val="404040"/>
          <w:kern w:val="0"/>
          <w:sz w:val="32"/>
          <w:szCs w:val="32"/>
        </w:rPr>
        <w:t>(</w:t>
      </w:r>
      <w:r>
        <w:rPr>
          <w:rFonts w:asciiTheme="minorEastAsia" w:hAnsiTheme="minorEastAsia" w:cstheme="minorEastAsia" w:hint="eastAsia"/>
          <w:color w:val="404040"/>
          <w:kern w:val="0"/>
          <w:sz w:val="32"/>
          <w:szCs w:val="32"/>
        </w:rPr>
        <w:t>银监办发〔</w:t>
      </w:r>
      <w:r>
        <w:rPr>
          <w:rFonts w:asciiTheme="minorEastAsia" w:hAnsiTheme="minorEastAsia" w:cstheme="minorEastAsia" w:hint="eastAsia"/>
          <w:color w:val="404040"/>
          <w:kern w:val="0"/>
          <w:sz w:val="32"/>
          <w:szCs w:val="32"/>
        </w:rPr>
        <w:t>2014</w:t>
      </w:r>
      <w:r>
        <w:rPr>
          <w:rFonts w:asciiTheme="minorEastAsia" w:hAnsiTheme="minorEastAsia" w:cstheme="minorEastAsia" w:hint="eastAsia"/>
          <w:color w:val="404040"/>
          <w:kern w:val="0"/>
          <w:sz w:val="32"/>
          <w:szCs w:val="32"/>
        </w:rPr>
        <w:t>〕</w:t>
      </w:r>
      <w:r>
        <w:rPr>
          <w:rFonts w:asciiTheme="minorEastAsia" w:hAnsiTheme="minorEastAsia" w:cstheme="minorEastAsia" w:hint="eastAsia"/>
          <w:color w:val="404040"/>
          <w:kern w:val="0"/>
          <w:sz w:val="32"/>
          <w:szCs w:val="32"/>
        </w:rPr>
        <w:t>57</w:t>
      </w:r>
      <w:r>
        <w:rPr>
          <w:rFonts w:asciiTheme="minorEastAsia" w:hAnsiTheme="minorEastAsia" w:cstheme="minorEastAsia" w:hint="eastAsia"/>
          <w:color w:val="404040"/>
          <w:kern w:val="0"/>
          <w:sz w:val="32"/>
          <w:szCs w:val="32"/>
        </w:rPr>
        <w:t>号</w:t>
      </w:r>
      <w:r>
        <w:rPr>
          <w:rFonts w:asciiTheme="minorEastAsia" w:hAnsiTheme="minorEastAsia" w:cstheme="minorEastAsia" w:hint="eastAsia"/>
          <w:color w:val="404040"/>
          <w:kern w:val="0"/>
          <w:sz w:val="32"/>
          <w:szCs w:val="32"/>
        </w:rPr>
        <w:t>)</w:t>
      </w:r>
      <w:r>
        <w:rPr>
          <w:rFonts w:asciiTheme="minorEastAsia" w:hAnsiTheme="minorEastAsia" w:cstheme="minorEastAsia" w:hint="eastAsia"/>
          <w:color w:val="404040"/>
          <w:kern w:val="0"/>
          <w:sz w:val="32"/>
          <w:szCs w:val="32"/>
        </w:rPr>
        <w:t>有关要求，制定完善员工异常行为排查制度，落实机构负责人对员工的管理、教育和监督职责；针对突出风险</w:t>
      </w:r>
      <w:proofErr w:type="gramStart"/>
      <w:r>
        <w:rPr>
          <w:rFonts w:asciiTheme="minorEastAsia" w:hAnsiTheme="minorEastAsia" w:cstheme="minorEastAsia" w:hint="eastAsia"/>
          <w:color w:val="404040"/>
          <w:kern w:val="0"/>
          <w:sz w:val="32"/>
          <w:szCs w:val="32"/>
        </w:rPr>
        <w:t>点</w:t>
      </w:r>
      <w:r>
        <w:rPr>
          <w:rFonts w:asciiTheme="minorEastAsia" w:hAnsiTheme="minorEastAsia" w:cstheme="minorEastAsia" w:hint="eastAsia"/>
          <w:color w:val="404040"/>
          <w:kern w:val="0"/>
          <w:sz w:val="32"/>
          <w:szCs w:val="32"/>
        </w:rPr>
        <w:t>制定</w:t>
      </w:r>
      <w:proofErr w:type="gramEnd"/>
      <w:r>
        <w:rPr>
          <w:rFonts w:asciiTheme="minorEastAsia" w:hAnsiTheme="minorEastAsia" w:cstheme="minorEastAsia" w:hint="eastAsia"/>
          <w:color w:val="404040"/>
          <w:kern w:val="0"/>
          <w:sz w:val="32"/>
          <w:szCs w:val="32"/>
        </w:rPr>
        <w:t>并下发员工从业禁止性规定和职业操守“底线”，对违反禁止性规定的发现一起、严厉查处一起，涉嫌犯罪的要移送公安、司法机关。银行业金融机构应于近期组织开展一次重点岗位员工行为专项大排查，并对发现的问题及时采取相应措施，严肃整改。</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十四、加强风险事件处置。银行业金融机构应明确风险事件报告、检查、处置、整改、问责的标准化处理流程及各</w:t>
      </w:r>
      <w:r>
        <w:rPr>
          <w:rFonts w:asciiTheme="minorEastAsia" w:hAnsiTheme="minorEastAsia" w:cstheme="minorEastAsia" w:hint="eastAsia"/>
          <w:color w:val="404040"/>
          <w:kern w:val="0"/>
          <w:sz w:val="32"/>
          <w:szCs w:val="32"/>
        </w:rPr>
        <w:lastRenderedPageBreak/>
        <w:t>部门职责分工，完善应急处置预案和机制，切实做好控人、止损工作，同时引导客户通过正当渠道合理主张自身合法权益。妥善处理已发事件，要充分考虑事件性质，严格按照责任归属，遵循法律法规妥善</w:t>
      </w:r>
      <w:r>
        <w:rPr>
          <w:rFonts w:asciiTheme="minorEastAsia" w:hAnsiTheme="minorEastAsia" w:cstheme="minorEastAsia" w:hint="eastAsia"/>
          <w:color w:val="404040"/>
          <w:kern w:val="0"/>
          <w:sz w:val="32"/>
          <w:szCs w:val="32"/>
        </w:rPr>
        <w:t>处置，确保处置程序公平，处置方式合理，处置结果公正。</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十五、加强风险事件联动查处和双线整改。事发机构所在一级分行承担查处和整改的第一责任；总行业务条</w:t>
      </w:r>
      <w:proofErr w:type="gramStart"/>
      <w:r>
        <w:rPr>
          <w:rFonts w:asciiTheme="minorEastAsia" w:hAnsiTheme="minorEastAsia" w:cstheme="minorEastAsia" w:hint="eastAsia"/>
          <w:color w:val="404040"/>
          <w:kern w:val="0"/>
          <w:sz w:val="32"/>
          <w:szCs w:val="32"/>
        </w:rPr>
        <w:t>线部门</w:t>
      </w:r>
      <w:proofErr w:type="gramEnd"/>
      <w:r>
        <w:rPr>
          <w:rFonts w:asciiTheme="minorEastAsia" w:hAnsiTheme="minorEastAsia" w:cstheme="minorEastAsia" w:hint="eastAsia"/>
          <w:color w:val="404040"/>
          <w:kern w:val="0"/>
          <w:sz w:val="32"/>
          <w:szCs w:val="32"/>
        </w:rPr>
        <w:t>和风险事件查处牵头部门要联合组织查处工作，提升诊断风险、剖析原因、认定责任、整改预防等方面的专业性和精准性；对于风险事件暴露出的、可能普遍存在的风险隐患，由总行及时向全</w:t>
      </w:r>
      <w:proofErr w:type="gramStart"/>
      <w:r>
        <w:rPr>
          <w:rFonts w:asciiTheme="minorEastAsia" w:hAnsiTheme="minorEastAsia" w:cstheme="minorEastAsia" w:hint="eastAsia"/>
          <w:color w:val="404040"/>
          <w:kern w:val="0"/>
          <w:sz w:val="32"/>
          <w:szCs w:val="32"/>
        </w:rPr>
        <w:t>辖发布</w:t>
      </w:r>
      <w:proofErr w:type="gramEnd"/>
      <w:r>
        <w:rPr>
          <w:rFonts w:asciiTheme="minorEastAsia" w:hAnsiTheme="minorEastAsia" w:cstheme="minorEastAsia" w:hint="eastAsia"/>
          <w:color w:val="404040"/>
          <w:kern w:val="0"/>
          <w:sz w:val="32"/>
          <w:szCs w:val="32"/>
        </w:rPr>
        <w:t>风险警示，组织专项检查；对于风险事件暴露出的管理问题，要实行涉事机构所在一级分行和总行业务条线的双线整改；总行应向全行通报典型案例，加强对分支机构和员工的警示教育。</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十六、加强</w:t>
      </w:r>
      <w:r>
        <w:rPr>
          <w:rFonts w:asciiTheme="minorEastAsia" w:hAnsiTheme="minorEastAsia" w:cstheme="minorEastAsia" w:hint="eastAsia"/>
          <w:color w:val="404040"/>
          <w:kern w:val="0"/>
          <w:sz w:val="32"/>
          <w:szCs w:val="32"/>
        </w:rPr>
        <w:t>风险事件双线问责。在对风险事件直接责任人进行严肃问责的同时，对管理</w:t>
      </w:r>
      <w:proofErr w:type="gramStart"/>
      <w:r>
        <w:rPr>
          <w:rFonts w:asciiTheme="minorEastAsia" w:hAnsiTheme="minorEastAsia" w:cstheme="minorEastAsia" w:hint="eastAsia"/>
          <w:color w:val="404040"/>
          <w:kern w:val="0"/>
          <w:sz w:val="32"/>
          <w:szCs w:val="32"/>
        </w:rPr>
        <w:t>不</w:t>
      </w:r>
      <w:proofErr w:type="gramEnd"/>
      <w:r>
        <w:rPr>
          <w:rFonts w:asciiTheme="minorEastAsia" w:hAnsiTheme="minorEastAsia" w:cstheme="minorEastAsia" w:hint="eastAsia"/>
          <w:color w:val="404040"/>
          <w:kern w:val="0"/>
          <w:sz w:val="32"/>
          <w:szCs w:val="32"/>
        </w:rPr>
        <w:t>尽职、履职不到位的机构负责人和业务条线管理人员也要严格认定责任并严肃问责；对于性质严重、负面影响大的风险事件，要比照案件问</w:t>
      </w:r>
      <w:proofErr w:type="gramStart"/>
      <w:r>
        <w:rPr>
          <w:rFonts w:asciiTheme="minorEastAsia" w:hAnsiTheme="minorEastAsia" w:cstheme="minorEastAsia" w:hint="eastAsia"/>
          <w:color w:val="404040"/>
          <w:kern w:val="0"/>
          <w:sz w:val="32"/>
          <w:szCs w:val="32"/>
        </w:rPr>
        <w:t>责标准</w:t>
      </w:r>
      <w:proofErr w:type="gramEnd"/>
      <w:r>
        <w:rPr>
          <w:rFonts w:asciiTheme="minorEastAsia" w:hAnsiTheme="minorEastAsia" w:cstheme="minorEastAsia" w:hint="eastAsia"/>
          <w:color w:val="404040"/>
          <w:kern w:val="0"/>
          <w:sz w:val="32"/>
          <w:szCs w:val="32"/>
        </w:rPr>
        <w:t>严肃问责，绝不姑息、以儆效尤；将风险事件防控工作纳入绩效考评，落实事发机构的第一责任、相关业务管理部门的管理责任、监督管理部门的监督责任，切实发挥绩效考评的导向和约束作用；对于涉事机构自查发现、主动报告、积</w:t>
      </w:r>
      <w:r>
        <w:rPr>
          <w:rFonts w:asciiTheme="minorEastAsia" w:hAnsiTheme="minorEastAsia" w:cstheme="minorEastAsia" w:hint="eastAsia"/>
          <w:color w:val="404040"/>
          <w:kern w:val="0"/>
          <w:sz w:val="32"/>
          <w:szCs w:val="32"/>
        </w:rPr>
        <w:lastRenderedPageBreak/>
        <w:t>极处置的，可在考核中酌情考虑；对于发生风险事件隐瞒不报的，要从严从重处罚。</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十七、加强内部举报核查。银行业金融机构应鼓励员工主动举报违规行为，及时、深入核实员工举报信息，有效保护举报人，充分发挥员工监督的积极作用。</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十八、加强宣传引导。银行业金融机构应加强对公众的持续宣传引导，通过海报、滚屏、短信、网站公告、媒体宣传等多种方式，提示公众警惕高息诱惑，警惕资金掮客，警惕他人代办，警惕附加承诺，警惕信息泄露，提高公众风险防范和依法维权意识。</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十九、加强声誉风险管理。银行业金融机构应对可能引发声誉风险的事件制定应急预案，建立舆情应对的快速反应机制；加强与新闻媒体的沟通联系及信</w:t>
      </w:r>
      <w:r>
        <w:rPr>
          <w:rFonts w:asciiTheme="minorEastAsia" w:hAnsiTheme="minorEastAsia" w:cstheme="minorEastAsia" w:hint="eastAsia"/>
          <w:color w:val="404040"/>
          <w:kern w:val="0"/>
          <w:sz w:val="32"/>
          <w:szCs w:val="32"/>
        </w:rPr>
        <w:t>息披露力度，及时对重要事项做出解释或说明，对不实信息应及时予以公开澄清，对真实问题应抓紧采取应对措施，避免事态严重化，同时积极主动做好公众来访来</w:t>
      </w:r>
      <w:proofErr w:type="gramStart"/>
      <w:r>
        <w:rPr>
          <w:rFonts w:asciiTheme="minorEastAsia" w:hAnsiTheme="minorEastAsia" w:cstheme="minorEastAsia" w:hint="eastAsia"/>
          <w:color w:val="404040"/>
          <w:kern w:val="0"/>
          <w:sz w:val="32"/>
          <w:szCs w:val="32"/>
        </w:rPr>
        <w:t>询</w:t>
      </w:r>
      <w:proofErr w:type="gramEnd"/>
      <w:r>
        <w:rPr>
          <w:rFonts w:asciiTheme="minorEastAsia" w:hAnsiTheme="minorEastAsia" w:cstheme="minorEastAsia" w:hint="eastAsia"/>
          <w:color w:val="404040"/>
          <w:kern w:val="0"/>
          <w:sz w:val="32"/>
          <w:szCs w:val="32"/>
        </w:rPr>
        <w:t>接待工作。</w:t>
      </w:r>
    </w:p>
    <w:p w:rsidR="00CC3A40" w:rsidRDefault="00D74C0C">
      <w:pPr>
        <w:widowControl/>
        <w:spacing w:line="480" w:lineRule="auto"/>
        <w:ind w:firstLineChars="0" w:firstLine="0"/>
        <w:jc w:val="left"/>
        <w:rPr>
          <w:rFonts w:asciiTheme="minorEastAsia" w:hAnsiTheme="minorEastAsia" w:cstheme="minorEastAsia"/>
          <w:color w:val="404040"/>
          <w:kern w:val="0"/>
          <w:sz w:val="32"/>
          <w:szCs w:val="32"/>
        </w:rPr>
      </w:pPr>
      <w:r>
        <w:rPr>
          <w:rFonts w:asciiTheme="minorEastAsia" w:hAnsiTheme="minorEastAsia" w:cstheme="minorEastAsia" w:hint="eastAsia"/>
          <w:color w:val="404040"/>
          <w:kern w:val="0"/>
          <w:sz w:val="32"/>
          <w:szCs w:val="32"/>
        </w:rPr>
        <w:t xml:space="preserve">　　二十、加强监督检查。</w:t>
      </w:r>
      <w:proofErr w:type="gramStart"/>
      <w:r>
        <w:rPr>
          <w:rFonts w:asciiTheme="minorEastAsia" w:hAnsiTheme="minorEastAsia" w:cstheme="minorEastAsia" w:hint="eastAsia"/>
          <w:color w:val="404040"/>
          <w:kern w:val="0"/>
          <w:sz w:val="32"/>
          <w:szCs w:val="32"/>
        </w:rPr>
        <w:t>各银监</w:t>
      </w:r>
      <w:proofErr w:type="gramEnd"/>
      <w:r>
        <w:rPr>
          <w:rFonts w:asciiTheme="minorEastAsia" w:hAnsiTheme="minorEastAsia" w:cstheme="minorEastAsia" w:hint="eastAsia"/>
          <w:color w:val="404040"/>
          <w:kern w:val="0"/>
          <w:sz w:val="32"/>
          <w:szCs w:val="32"/>
        </w:rPr>
        <w:t>局应定期对辖内银行业金融机构的内控执行情况开展督促检查。对存在风险隐患或侵害客户合法权益的银行业金融机构，责令限期进行整改，并依法依规采取约谈高管人员、暂停准入事项等监管措施。</w:t>
      </w:r>
    </w:p>
    <w:p w:rsidR="00CC3A40" w:rsidRDefault="00D74C0C" w:rsidP="00F16116">
      <w:pPr>
        <w:widowControl/>
        <w:spacing w:line="480" w:lineRule="auto"/>
        <w:ind w:firstLineChars="0" w:firstLine="110"/>
        <w:jc w:val="left"/>
        <w:rPr>
          <w:rFonts w:asciiTheme="minorEastAsia" w:hAnsiTheme="minorEastAsia" w:cstheme="minorEastAsia"/>
          <w:sz w:val="32"/>
          <w:szCs w:val="32"/>
        </w:rPr>
      </w:pPr>
      <w:r>
        <w:rPr>
          <w:rFonts w:asciiTheme="minorEastAsia" w:hAnsiTheme="minorEastAsia" w:cstheme="minorEastAsia" w:hint="eastAsia"/>
          <w:color w:val="404040"/>
          <w:kern w:val="0"/>
          <w:sz w:val="32"/>
          <w:szCs w:val="32"/>
        </w:rPr>
        <w:t xml:space="preserve">　　</w:t>
      </w:r>
      <w:proofErr w:type="gramStart"/>
      <w:r>
        <w:rPr>
          <w:rFonts w:asciiTheme="minorEastAsia" w:hAnsiTheme="minorEastAsia" w:cstheme="minorEastAsia" w:hint="eastAsia"/>
          <w:color w:val="404040"/>
          <w:kern w:val="0"/>
          <w:sz w:val="32"/>
          <w:szCs w:val="32"/>
        </w:rPr>
        <w:t>各银监</w:t>
      </w:r>
      <w:proofErr w:type="gramEnd"/>
      <w:r>
        <w:rPr>
          <w:rFonts w:asciiTheme="minorEastAsia" w:hAnsiTheme="minorEastAsia" w:cstheme="minorEastAsia" w:hint="eastAsia"/>
          <w:color w:val="404040"/>
          <w:kern w:val="0"/>
          <w:sz w:val="32"/>
          <w:szCs w:val="32"/>
        </w:rPr>
        <w:t>局和银行业金融机构应迅速将上述要求传达到全辖，并在</w:t>
      </w:r>
      <w:r>
        <w:rPr>
          <w:rFonts w:asciiTheme="minorEastAsia" w:hAnsiTheme="minorEastAsia" w:cstheme="minorEastAsia" w:hint="eastAsia"/>
          <w:color w:val="404040"/>
          <w:kern w:val="0"/>
          <w:sz w:val="32"/>
          <w:szCs w:val="32"/>
        </w:rPr>
        <w:t>6</w:t>
      </w:r>
      <w:r>
        <w:rPr>
          <w:rFonts w:asciiTheme="minorEastAsia" w:hAnsiTheme="minorEastAsia" w:cstheme="minorEastAsia" w:hint="eastAsia"/>
          <w:color w:val="404040"/>
          <w:kern w:val="0"/>
          <w:sz w:val="32"/>
          <w:szCs w:val="32"/>
        </w:rPr>
        <w:t>月</w:t>
      </w:r>
      <w:r>
        <w:rPr>
          <w:rFonts w:asciiTheme="minorEastAsia" w:hAnsiTheme="minorEastAsia" w:cstheme="minorEastAsia" w:hint="eastAsia"/>
          <w:color w:val="404040"/>
          <w:kern w:val="0"/>
          <w:sz w:val="32"/>
          <w:szCs w:val="32"/>
        </w:rPr>
        <w:t>30</w:t>
      </w:r>
      <w:r>
        <w:rPr>
          <w:rFonts w:asciiTheme="minorEastAsia" w:hAnsiTheme="minorEastAsia" w:cstheme="minorEastAsia" w:hint="eastAsia"/>
          <w:color w:val="404040"/>
          <w:kern w:val="0"/>
          <w:sz w:val="32"/>
          <w:szCs w:val="32"/>
        </w:rPr>
        <w:t>日之前将贯彻落实情况报告银监会。</w:t>
      </w:r>
      <w:bookmarkStart w:id="0" w:name="_GoBack"/>
      <w:bookmarkEnd w:id="0"/>
    </w:p>
    <w:sectPr w:rsidR="00CC3A4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C0C" w:rsidRDefault="00D74C0C" w:rsidP="00F16116">
      <w:pPr>
        <w:ind w:firstLine="105"/>
      </w:pPr>
      <w:r>
        <w:separator/>
      </w:r>
    </w:p>
  </w:endnote>
  <w:endnote w:type="continuationSeparator" w:id="0">
    <w:p w:rsidR="00D74C0C" w:rsidRDefault="00D74C0C" w:rsidP="00F16116">
      <w:pPr>
        <w:ind w:firstLine="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116" w:rsidRDefault="00F16116" w:rsidP="00F16116">
    <w:pPr>
      <w:pStyle w:val="a5"/>
      <w:ind w:firstLine="9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116" w:rsidRDefault="00F16116" w:rsidP="00F16116">
    <w:pPr>
      <w:pStyle w:val="a5"/>
      <w:ind w:firstLine="9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116" w:rsidRDefault="00F16116" w:rsidP="00F16116">
    <w:pPr>
      <w:pStyle w:val="a5"/>
      <w:ind w:firstLine="9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C0C" w:rsidRDefault="00D74C0C" w:rsidP="00F16116">
      <w:pPr>
        <w:ind w:firstLine="105"/>
      </w:pPr>
      <w:r>
        <w:separator/>
      </w:r>
    </w:p>
  </w:footnote>
  <w:footnote w:type="continuationSeparator" w:id="0">
    <w:p w:rsidR="00D74C0C" w:rsidRDefault="00D74C0C" w:rsidP="00F16116">
      <w:pPr>
        <w:ind w:firstLine="10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116" w:rsidRDefault="00F16116" w:rsidP="00F16116">
    <w:pPr>
      <w:pStyle w:val="a4"/>
      <w:ind w:firstLine="9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116" w:rsidRDefault="00F16116" w:rsidP="00F16116">
    <w:pPr>
      <w:pStyle w:val="a4"/>
      <w:ind w:firstLine="9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116" w:rsidRDefault="00F16116" w:rsidP="00F16116">
    <w:pPr>
      <w:pStyle w:val="a4"/>
      <w:ind w:firstLine="9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84634"/>
    <w:rsid w:val="00084634"/>
    <w:rsid w:val="009940AD"/>
    <w:rsid w:val="00A44825"/>
    <w:rsid w:val="00CC3A40"/>
    <w:rsid w:val="00D74C0C"/>
    <w:rsid w:val="00F16116"/>
    <w:rsid w:val="00FC0C16"/>
    <w:rsid w:val="75A46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ind w:firstLineChars="50" w:firstLine="5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a4">
    <w:name w:val="header"/>
    <w:basedOn w:val="a"/>
    <w:link w:val="Char"/>
    <w:uiPriority w:val="99"/>
    <w:unhideWhenUsed/>
    <w:rsid w:val="00F161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16116"/>
    <w:rPr>
      <w:kern w:val="2"/>
      <w:sz w:val="18"/>
      <w:szCs w:val="18"/>
    </w:rPr>
  </w:style>
  <w:style w:type="paragraph" w:styleId="a5">
    <w:name w:val="footer"/>
    <w:basedOn w:val="a"/>
    <w:link w:val="Char0"/>
    <w:uiPriority w:val="99"/>
    <w:unhideWhenUsed/>
    <w:rsid w:val="00F16116"/>
    <w:pPr>
      <w:tabs>
        <w:tab w:val="center" w:pos="4153"/>
        <w:tab w:val="right" w:pos="8306"/>
      </w:tabs>
      <w:snapToGrid w:val="0"/>
      <w:jc w:val="left"/>
    </w:pPr>
    <w:rPr>
      <w:sz w:val="18"/>
      <w:szCs w:val="18"/>
    </w:rPr>
  </w:style>
  <w:style w:type="character" w:customStyle="1" w:styleId="Char0">
    <w:name w:val="页脚 Char"/>
    <w:basedOn w:val="a0"/>
    <w:link w:val="a5"/>
    <w:uiPriority w:val="99"/>
    <w:rsid w:val="00F1611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555</Words>
  <Characters>3165</Characters>
  <Application>Microsoft Office Word</Application>
  <DocSecurity>0</DocSecurity>
  <Lines>26</Lines>
  <Paragraphs>7</Paragraphs>
  <ScaleCrop>false</ScaleCrop>
  <Company>微软中国</Company>
  <LinksUpToDate>false</LinksUpToDate>
  <CharactersWithSpaces>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赵圣婴</cp:lastModifiedBy>
  <cp:revision>2</cp:revision>
  <dcterms:created xsi:type="dcterms:W3CDTF">2020-08-24T05:28:00Z</dcterms:created>
  <dcterms:modified xsi:type="dcterms:W3CDTF">2020-09-03T07:59:00Z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